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74" w:rsidRDefault="00CC4274">
      <w:proofErr w:type="spellStart"/>
      <w:r>
        <w:t>Brooker</w:t>
      </w:r>
      <w:proofErr w:type="spellEnd"/>
      <w:r>
        <w:t xml:space="preserve"> Notes</w:t>
      </w:r>
    </w:p>
    <w:p w:rsidR="00CC4274" w:rsidRDefault="00CC4274"/>
    <w:p w:rsidR="00CC4274" w:rsidRDefault="00CC4274"/>
    <w:p w:rsidR="00CC4274" w:rsidRDefault="00CC4274"/>
    <w:p w:rsidR="00CC4274" w:rsidRPr="005916EB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5916EB">
        <w:rPr>
          <w:rFonts w:ascii="Times New Roman" w:hAnsi="Times New Roman" w:cs="Times New Roman"/>
          <w:color w:val="000000"/>
          <w:highlight w:val="yellow"/>
        </w:rPr>
        <w:t>Most often in curriculum-making practices in Western schools</w:t>
      </w:r>
    </w:p>
    <w:p w:rsidR="00CC4274" w:rsidRPr="005916EB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student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voices have generally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beenmarginalized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>. At best, learners’ opinions</w:t>
      </w:r>
    </w:p>
    <w:p w:rsidR="00CC4274" w:rsidRPr="005916EB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are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sought only after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signi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>® cant decisions (e.g. the selection of legitimate</w:t>
      </w:r>
    </w:p>
    <w:p w:rsidR="00CC4274" w:rsidRPr="005916EB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content</w:t>
      </w:r>
      <w:proofErr w:type="gramEnd"/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5916EB">
        <w:rPr>
          <w:rFonts w:ascii="Times New Roman" w:hAnsi="Times New Roman" w:cs="Times New Roman"/>
          <w:color w:val="000000"/>
          <w:highlight w:val="yellow"/>
        </w:rPr>
        <w:t>have already been made and the curriculum has been determined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by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o.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cially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approved persons (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Aronowitz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and Giroux 1993</w:t>
      </w:r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5916EB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CC4274" w:rsidRPr="005916EB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5916EB">
        <w:rPr>
          <w:rFonts w:ascii="Times New Roman" w:hAnsi="Times New Roman" w:cs="Times New Roman"/>
          <w:color w:val="000000"/>
          <w:highlight w:val="yellow"/>
        </w:rPr>
        <w:t>Although students are considered central to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5916EB">
        <w:rPr>
          <w:rFonts w:ascii="Times New Roman" w:hAnsi="Times New Roman" w:cs="Times New Roman"/>
          <w:color w:val="000000"/>
          <w:highlight w:val="yellow"/>
        </w:rPr>
        <w:t>schooling</w:t>
      </w:r>
      <w:proofErr w:type="gram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, they are rarely consulted in </w:t>
      </w:r>
      <w:proofErr w:type="spellStart"/>
      <w:r w:rsidRPr="005916EB">
        <w:rPr>
          <w:rFonts w:ascii="Times New Roman" w:hAnsi="Times New Roman" w:cs="Times New Roman"/>
          <w:color w:val="000000"/>
          <w:highlight w:val="yellow"/>
        </w:rPr>
        <w:t>curriculummaking</w:t>
      </w:r>
      <w:proofErr w:type="spellEnd"/>
      <w:r w:rsidRPr="005916EB">
        <w:rPr>
          <w:rFonts w:ascii="Times New Roman" w:hAnsi="Times New Roman" w:cs="Times New Roman"/>
          <w:color w:val="000000"/>
          <w:highlight w:val="yellow"/>
        </w:rPr>
        <w:t xml:space="preserve"> (Dyson 1995</w:t>
      </w:r>
      <w:r w:rsidRPr="005916EB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5916EB">
        <w:rPr>
          <w:rFonts w:ascii="Times New Roman" w:hAnsi="Times New Roman" w:cs="Times New Roman"/>
          <w:color w:val="000000"/>
          <w:highlight w:val="yellow"/>
        </w:rPr>
        <w:t>.</w:t>
      </w:r>
      <w:r w:rsidRPr="008A0574">
        <w:rPr>
          <w:rFonts w:ascii="Times New Roman" w:hAnsi="Times New Roman" w:cs="Times New Roman"/>
          <w:color w:val="000000"/>
        </w:rPr>
        <w:t xml:space="preserve"> If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Although these stakeholders believe they are acting in the best interests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learners, one can rightly ask `whose interests are being served and whose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interests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are excluded’ (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Cherryholmes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1987: 311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While the curriculum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supposedly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exists to serve the interests of learners, their preferences, if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sought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at all, are marginalized and their voices are mostly silent in curriculum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 This marginalization of student voice is of particular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concern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such subjects as physical education[PE] in which the essence of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subject is closely linked to the interests and culture of learners.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 xml:space="preserve">But what does legitimate student `voice’ sound like?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Britzman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(1989: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146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suggests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that the concept of voice has several meanings, including the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literal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(representing speech and the perspectives of the speaker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, metaphorical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(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manner and qualities of the speaker’s words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, and political (a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commitment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to the right to speak and be represented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Within the political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On the basis of hindsight, therefore, we raise issues about how student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voice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was positioned during the project, and o.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er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suggestions for enabling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students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the future to contribute in a more meaningful way to curriculum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At the systemic, school and subject level, the curriculum has tended to be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something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`planned for’ and `done to’ students (Klein 1989: 90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5305A">
        <w:rPr>
          <w:rFonts w:ascii="Times New Roman" w:hAnsi="Times New Roman" w:cs="Times New Roman"/>
          <w:color w:val="000000"/>
          <w:highlight w:val="yellow"/>
        </w:rPr>
        <w:t>. Erickson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and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Schultz (1992: 481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5305A">
        <w:rPr>
          <w:rFonts w:ascii="Times New Roman" w:hAnsi="Times New Roman" w:cs="Times New Roman"/>
          <w:color w:val="000000"/>
          <w:highlight w:val="yellow"/>
        </w:rPr>
        <w:t>claim that the `systematic silencing of the student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voice’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is consistent with traditional authority structures in schools and a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consequence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of methodological preferences for positivistic research techniques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formulating and implementing such procedures as those followed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this case. Their criticism can be understood by examining how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di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. </w:t>
      </w:r>
      <w:proofErr w:type="spellStart"/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erent</w:t>
      </w:r>
      <w:proofErr w:type="spellEnd"/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Cumming (1994: 42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5305A">
        <w:rPr>
          <w:rFonts w:ascii="Times New Roman" w:hAnsi="Times New Roman" w:cs="Times New Roman"/>
          <w:color w:val="000000"/>
          <w:highlight w:val="yellow"/>
        </w:rPr>
        <w:t>recommends `authentic student participation’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which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`means nothing less than all young adolescents assuming a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proactive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role in the planning, implementing and evaluating of their own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learning’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>.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Edwards (1994: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52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not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only supports an approach to education that focuses on students’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concerns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in all phases of design and implementation, but also recommends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that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the curriculum be negotiated with and be relevant to students,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structured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around primary concepts, assessed in line with students’ learning,</w:t>
      </w:r>
    </w:p>
    <w:p w:rsidR="00CC4274" w:rsidRDefault="00CC4274" w:rsidP="00CC4274"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and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adapted </w:t>
      </w:r>
      <w:proofErr w:type="spellStart"/>
      <w:r w:rsidRPr="00A5305A">
        <w:rPr>
          <w:rFonts w:ascii="Times New Roman" w:hAnsi="Times New Roman" w:cs="Times New Roman"/>
          <w:color w:val="000000"/>
          <w:highlight w:val="yellow"/>
        </w:rPr>
        <w:t>tostudents</w:t>
      </w:r>
      <w:proofErr w:type="spellEnd"/>
      <w:r w:rsidRPr="00A5305A">
        <w:rPr>
          <w:rFonts w:ascii="Times New Roman" w:hAnsi="Times New Roman" w:cs="Times New Roman"/>
          <w:color w:val="000000"/>
          <w:highlight w:val="yellow"/>
        </w:rPr>
        <w:t>’ progress.</w:t>
      </w:r>
    </w:p>
    <w:p w:rsidR="00CC4274" w:rsidRDefault="00CC4274"/>
    <w:p w:rsidR="00CC4274" w:rsidRDefault="00CC4274"/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8A0574">
        <w:rPr>
          <w:rFonts w:ascii="Times New Roman" w:hAnsi="Times New Roman" w:cs="Times New Roman"/>
          <w:color w:val="000000"/>
        </w:rPr>
        <w:t xml:space="preserve">. </w:t>
      </w:r>
      <w:r w:rsidRPr="00A5305A">
        <w:rPr>
          <w:rFonts w:ascii="Times New Roman" w:hAnsi="Times New Roman" w:cs="Times New Roman"/>
          <w:color w:val="000000"/>
          <w:highlight w:val="yellow"/>
        </w:rPr>
        <w:t>Smith (1989: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5305A">
        <w:rPr>
          <w:rFonts w:ascii="Times New Roman" w:hAnsi="Times New Roman" w:cs="Times New Roman"/>
          <w:color w:val="000000"/>
          <w:highlight w:val="yellow"/>
        </w:rPr>
        <w:t>34</w:t>
      </w:r>
      <w:r w:rsidRPr="00A5305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is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concerned that the mere fact of listening to student voice often</w:t>
      </w:r>
    </w:p>
    <w:p w:rsidR="00CC4274" w:rsidRPr="00A5305A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remains</w:t>
      </w:r>
      <w:proofErr w:type="gramEnd"/>
      <w:r w:rsidRPr="00A5305A">
        <w:rPr>
          <w:rFonts w:ascii="Times New Roman" w:hAnsi="Times New Roman" w:cs="Times New Roman"/>
          <w:color w:val="000000"/>
          <w:highlight w:val="yellow"/>
        </w:rPr>
        <w:t xml:space="preserve"> an end in itself ± `a celebration after which we return to the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5305A">
        <w:rPr>
          <w:rFonts w:ascii="Times New Roman" w:hAnsi="Times New Roman" w:cs="Times New Roman"/>
          <w:color w:val="000000"/>
          <w:highlight w:val="yellow"/>
        </w:rPr>
        <w:t>everyday’</w:t>
      </w:r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In other words, educators need a theory of curriculum that alerts them to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howschooling</w:t>
      </w:r>
      <w:proofErr w:type="spellEnd"/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renders some students voiceless,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howteachers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are reduced to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technicians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and how particular forms of authority subvert the ethical force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educational leadership and learning.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With respect to student voice, they suggest that `it is on the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terrains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a class and popular culture that students primarily develop an</w:t>
      </w:r>
    </w:p>
    <w:p w:rsidR="00CC4274" w:rsidRDefault="00CC4274" w:rsidP="00CC4274"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active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voice’ (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Aronowitz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and Giroux 1993: 128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</w:t>
      </w:r>
    </w:p>
    <w:p w:rsidR="00CC4274" w:rsidRDefault="00CC4274"/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In addition, Morrison (1996: 5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71BAD">
        <w:rPr>
          <w:rFonts w:ascii="Times New Roman" w:hAnsi="Times New Roman" w:cs="Times New Roman"/>
          <w:color w:val="000000"/>
          <w:highlight w:val="yellow"/>
        </w:rPr>
        <w:t>advocates a co-operative and collaborative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approach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in which teachers `work on the experiences that children bring to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school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, interrogate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themcritically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>, . . . so that children’s life experiences are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transformed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into critical awareness and empowerment’.</w:t>
      </w:r>
    </w:p>
    <w:p w:rsidR="00CC4274" w:rsidRDefault="00CC4274"/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 xml:space="preserve"> </w:t>
      </w: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study of student voice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needs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to take account of those new (learning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A71BAD">
        <w:rPr>
          <w:rFonts w:ascii="Times New Roman" w:hAnsi="Times New Roman" w:cs="Times New Roman"/>
          <w:color w:val="000000"/>
          <w:highlight w:val="yellow"/>
        </w:rPr>
        <w:t>technologies changing the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means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knowledge production and distribution (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Hinkson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1992, Evans and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 xml:space="preserve">Davies 1993,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Rovengo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and Kirk 1995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 Children possessing skills derived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from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their interactions with technology and media, White (1994: 87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contends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have a `new orientation to the world’ in which new relations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are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possible. As a consequence of new electronic communication, White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claims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>, schools should reduce their reliance on print and rethink their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conceptions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of teacher authority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but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also adopt teaching approaches that heighten</w:t>
      </w: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students’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critical capacities and foreground `individual sensitivity . . . which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is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supportive, nurturing and accepting’ (Tinning 1994: 84</w:t>
      </w:r>
      <w:r w:rsidRPr="00A71BA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A71BAD">
        <w:rPr>
          <w:rFonts w:ascii="Times New Roman" w:hAnsi="Times New Roman" w:cs="Times New Roman"/>
          <w:color w:val="000000"/>
          <w:highlight w:val="yellow"/>
        </w:rPr>
        <w:t>.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A71BAD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A71BAD">
        <w:rPr>
          <w:rFonts w:ascii="Times New Roman" w:hAnsi="Times New Roman" w:cs="Times New Roman"/>
          <w:color w:val="000000"/>
          <w:highlight w:val="yellow"/>
        </w:rPr>
        <w:t>Because data were collected from several sources and from each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A71BAD">
        <w:rPr>
          <w:rFonts w:ascii="Times New Roman" w:hAnsi="Times New Roman" w:cs="Times New Roman"/>
          <w:color w:val="000000"/>
          <w:highlight w:val="yellow"/>
        </w:rPr>
        <w:t>school</w:t>
      </w:r>
      <w:proofErr w:type="gram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, we were able to triangulate our ® </w:t>
      </w:r>
      <w:proofErr w:type="spellStart"/>
      <w:r w:rsidRPr="00A71BAD">
        <w:rPr>
          <w:rFonts w:ascii="Times New Roman" w:hAnsi="Times New Roman" w:cs="Times New Roman"/>
          <w:color w:val="000000"/>
          <w:highlight w:val="yellow"/>
        </w:rPr>
        <w:t>ndings</w:t>
      </w:r>
      <w:proofErr w:type="spellEnd"/>
      <w:r w:rsidRPr="00A71BAD">
        <w:rPr>
          <w:rFonts w:ascii="Times New Roman" w:hAnsi="Times New Roman" w:cs="Times New Roman"/>
          <w:color w:val="000000"/>
          <w:highlight w:val="yellow"/>
        </w:rPr>
        <w:t xml:space="preserve"> to establish trustworthiness.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A post-evaluation re-examination of the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data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collected from students in the course of the evaluation, made it clear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that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the student voice could have informed the development of the subject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in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ways that other stakeholders could not.</w:t>
      </w:r>
    </w:p>
    <w:p w:rsidR="00CC4274" w:rsidRDefault="00CC4274"/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 xml:space="preserve">Their comments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aboutwhocould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achieve success in PE remind curriculum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makers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of the importance of developing a school subject that provides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opportunities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and learning experiences for students with a wide range of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abilities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: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There </w:t>
      </w: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is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 lot of guys [sic] who are good in this particular area so for them to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do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well at the subject it’s important. They might not be as academically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smart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as others but they can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dowell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in this area.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Sofor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</w:t>
      </w:r>
      <w:proofErr w:type="spell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themit’s</w:t>
      </w:r>
      <w:proofErr w:type="spell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 xml:space="preserve"> an important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subject</w:t>
      </w:r>
      <w:proofErr w:type="gramEnd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.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The practical side is good . . . it gives everyone a fair chance.</w:t>
      </w:r>
    </w:p>
    <w:p w:rsidR="00CC4274" w:rsidRDefault="00CC4274"/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As a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1"/>
          <w:szCs w:val="21"/>
          <w:highlight w:val="yellow"/>
        </w:rPr>
        <w:t>issues</w:t>
      </w:r>
      <w:proofErr w:type="gramEnd"/>
      <w:r w:rsidRPr="00D86B85">
        <w:rPr>
          <w:rFonts w:ascii="Times New Roman" w:hAnsi="Times New Roman" w:cs="Times New Roman"/>
          <w:color w:val="000000"/>
          <w:sz w:val="21"/>
          <w:szCs w:val="21"/>
          <w:highlight w:val="yellow"/>
        </w:rPr>
        <w:t xml:space="preserve"> of student voice in curriculum innovation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93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Downloaded by [University of Cincinnati Libraries] at 19:30 17 April 2012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result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, student voices were `homogenized’ because they were reported as a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single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entity, free of any socio-historical and contextual recognition (Ellsworth</w:t>
      </w:r>
    </w:p>
    <w:p w:rsidR="00CC4274" w:rsidRDefault="00CC4274" w:rsidP="00CC4274"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 xml:space="preserve">1992,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Orner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1992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highlight w:val="yellow"/>
        </w:rPr>
        <w:t>.</w:t>
      </w:r>
      <w:proofErr w:type="gramEnd"/>
    </w:p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 xml:space="preserve">The challenge is to embrace </w:t>
      </w: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curriculum-making</w:t>
      </w:r>
      <w:proofErr w:type="gramEnd"/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practices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that are more inclusive and valuing of student voice. Such a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shift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to position curriculum making in a contested (concerned about the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`</w:t>
      </w: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why’</w:t>
      </w:r>
      <w:proofErr w:type="gramEnd"/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highlight w:val="yellow"/>
        </w:rPr>
        <w:t>rather than positivistic (concerned about the `how’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highlight w:val="yellow"/>
        </w:rPr>
        <w:t>framework,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requires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policies and practices underpinned by commitments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tothe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right of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students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to speak and be represented, and to a faithful representation of</w:t>
      </w:r>
    </w:p>
    <w:p w:rsidR="00CC4274" w:rsidRDefault="00CC4274" w:rsidP="00CC4274"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their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speech and perspectives (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Britzman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1989</w:t>
      </w:r>
      <w:r w:rsidRPr="008A057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0574">
        <w:rPr>
          <w:rFonts w:ascii="Times New Roman" w:hAnsi="Times New Roman" w:cs="Times New Roman"/>
          <w:color w:val="000000"/>
        </w:rPr>
        <w:t>.</w:t>
      </w:r>
    </w:p>
    <w:p w:rsidR="00CC4274" w:rsidRDefault="00CC4274"/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At yet another level, the practices designed to `hear’ and report student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voice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need rethinking. To position their voices meaningfully in curriculum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making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, individual students could act as volunteer `cases’ whose experiences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of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a new curriculum could be tracked throughout the period of the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evaluation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>. The perspectives of these students, together with relevant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elements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of their biographies, could be included in the evaluation reports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as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individual case studies. By so doing, the diversity of student reaction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toa</w:t>
      </w:r>
      <w:proofErr w:type="spellEnd"/>
    </w:p>
    <w:p w:rsidR="00CC4274" w:rsidRDefault="00CC4274"/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r w:rsidRPr="00D86B85">
        <w:rPr>
          <w:rFonts w:ascii="Times New Roman" w:hAnsi="Times New Roman" w:cs="Times New Roman"/>
          <w:color w:val="000000"/>
          <w:highlight w:val="yellow"/>
        </w:rPr>
        <w:t>The inclusion of students `might serve to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enable</w:t>
      </w:r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them to overcome the institutional barriers that operate against an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yellow"/>
        </w:rPr>
      </w:pPr>
      <w:proofErr w:type="spellStart"/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emancipatory</w:t>
      </w:r>
      <w:proofErr w:type="spellEnd"/>
      <w:proofErr w:type="gram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 view of students as active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curriculummakers</w:t>
      </w:r>
      <w:proofErr w:type="spellEnd"/>
      <w:r w:rsidRPr="00D86B85">
        <w:rPr>
          <w:rFonts w:ascii="Times New Roman" w:hAnsi="Times New Roman" w:cs="Times New Roman"/>
          <w:color w:val="000000"/>
          <w:highlight w:val="yellow"/>
        </w:rPr>
        <w:t xml:space="preserve">’ (Mac </w:t>
      </w:r>
      <w:proofErr w:type="spellStart"/>
      <w:r w:rsidRPr="00D86B85">
        <w:rPr>
          <w:rFonts w:ascii="Times New Roman" w:hAnsi="Times New Roman" w:cs="Times New Roman"/>
          <w:color w:val="000000"/>
          <w:highlight w:val="yellow"/>
        </w:rPr>
        <w:t>anGhaill</w:t>
      </w:r>
      <w:proofErr w:type="spellEnd"/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D86B85">
        <w:rPr>
          <w:rFonts w:ascii="Times New Roman" w:hAnsi="Times New Roman" w:cs="Times New Roman"/>
          <w:color w:val="000000"/>
          <w:highlight w:val="yellow"/>
        </w:rPr>
        <w:t>1992: 231</w:t>
      </w:r>
      <w:r w:rsidRPr="00D86B85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highlight w:val="yellow"/>
        </w:rPr>
        <w:t>.</w:t>
      </w:r>
      <w:proofErr w:type="gramEnd"/>
    </w:p>
    <w:p w:rsidR="00CC4274" w:rsidRDefault="00CC4274"/>
    <w:p w:rsidR="00CC4274" w:rsidRDefault="00CC4274"/>
    <w:p w:rsidR="00CC4274" w:rsidRDefault="00CC4274"/>
    <w:p w:rsidR="00CC4274" w:rsidRDefault="00CC4274">
      <w:r>
        <w:t>Look up</w:t>
      </w:r>
    </w:p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G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RAHAM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G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(1995a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Physical education through students’ eyes and in students’ voices: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introduction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364± 371.</w:t>
      </w:r>
      <w:proofErr w:type="gramEnd"/>
    </w:p>
    <w:p w:rsidR="00CC4274" w:rsidRDefault="00CC4274"/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V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EAL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L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and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OMPAGNONE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How sixth graders perceive e. ort and skill.</w:t>
      </w:r>
      <w:proofErr w:type="gramEnd"/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431± 444.</w:t>
      </w:r>
      <w:proofErr w:type="gramEnd"/>
    </w:p>
    <w:p w:rsidR="00CC4274" w:rsidRDefault="00CC4274"/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O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RNER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M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Interrupting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the calls for student voice in `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liberatory</w:t>
      </w:r>
      <w:proofErr w:type="spell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’ education: a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feminist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poststructuralist perspective. In C. Luke and J. Gore (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eds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Feminisms and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Critical Pedagogy (New York: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Routledge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74± 89.</w:t>
      </w:r>
      <w:proofErr w:type="gramEnd"/>
    </w:p>
    <w:p w:rsidR="00CC4274" w:rsidRDefault="00CC4274"/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E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LLSWORTH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E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Why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doesn’t this feel empowering?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working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through the repressive</w:t>
      </w: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myths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of critical pedagogy. In C. Luke and J. Gore (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eds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Feminisms and Critical</w:t>
      </w:r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Pedagogy (New York: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Routledge</w:t>
      </w:r>
      <w:proofErr w:type="spellEnd"/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90± 119.</w:t>
      </w:r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</w:t>
      </w:r>
      <w:r w:rsidRPr="00D86B85">
        <w:rPr>
          <w:rFonts w:ascii="Times New Roman" w:hAnsi="Times New Roman" w:cs="Times New Roman"/>
          <w:color w:val="000000"/>
          <w:sz w:val="13"/>
          <w:szCs w:val="13"/>
          <w:highlight w:val="yellow"/>
        </w:rPr>
        <w:t>Y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SON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B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P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(1995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Students’ voices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in two alternative elementary physical education</w:t>
      </w:r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programs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Journal of Teaching in Physical Education, 14 (4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394± 407</w:t>
      </w:r>
      <w:r w:rsidRPr="008A0574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CC42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274" w:rsidRPr="00D86B85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B</w:t>
      </w:r>
      <w:r w:rsidRPr="00D86B85">
        <w:rPr>
          <w:rFonts w:ascii="Times New Roman" w:hAnsi="Times New Roman" w:cs="Times New Roman"/>
          <w:color w:val="000000"/>
          <w:sz w:val="15"/>
          <w:szCs w:val="15"/>
          <w:highlight w:val="yellow"/>
        </w:rPr>
        <w:t>RITZMAN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,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P</w:t>
      </w:r>
      <w:r w:rsidRPr="00D86B85">
        <w:rPr>
          <w:rFonts w:ascii="Times New Roman" w:hAnsi="Times New Roman" w:cs="Times New Roman"/>
          <w:color w:val="000000"/>
          <w:sz w:val="19"/>
          <w:szCs w:val="19"/>
          <w:highlight w:val="yellow"/>
        </w:rPr>
        <w:t xml:space="preserve">. 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(1989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)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Who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has the ¯ </w:t>
      </w:r>
      <w:proofErr w:type="spell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oor</w:t>
      </w:r>
      <w:proofErr w:type="spell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?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curriculum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teaching, and the English student</w:t>
      </w: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teacher’s</w:t>
      </w:r>
      <w:proofErr w:type="gramEnd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struggle for voice. </w:t>
      </w:r>
      <w:proofErr w:type="gramStart"/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Curriculum Inquiry, 19 (2</w:t>
      </w:r>
      <w:r w:rsidRPr="00D86B85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)</w:t>
      </w:r>
      <w:r w:rsidRPr="00D86B8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 143± 162.</w:t>
      </w:r>
      <w:proofErr w:type="gramEnd"/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CC4274" w:rsidRPr="008A0574" w:rsidRDefault="00CC4274" w:rsidP="00CC42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91DD8" w:rsidRDefault="00CC4274"/>
    <w:sectPr w:rsidR="00691DD8" w:rsidSect="00691D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4274"/>
    <w:rsid w:val="00CC427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C427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4274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1140</Words>
  <Characters>6499</Characters>
  <Application>Microsoft Macintosh Word</Application>
  <DocSecurity>0</DocSecurity>
  <Lines>54</Lines>
  <Paragraphs>12</Paragraphs>
  <ScaleCrop>false</ScaleCrop>
  <Company>University of Cincinnati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1</cp:revision>
  <dcterms:created xsi:type="dcterms:W3CDTF">2012-05-13T22:21:00Z</dcterms:created>
  <dcterms:modified xsi:type="dcterms:W3CDTF">2012-05-13T22:31:00Z</dcterms:modified>
</cp:coreProperties>
</file>